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2A5827">
        <w:rPr>
          <w:bCs/>
          <w:noProof w:val="0"/>
          <w:sz w:val="24"/>
          <w:lang w:val="en-GB"/>
        </w:rPr>
        <w:t>9</w:t>
      </w:r>
      <w:r w:rsidR="00D22E21">
        <w:rPr>
          <w:bCs/>
          <w:noProof w:val="0"/>
          <w:sz w:val="24"/>
          <w:lang w:val="en-GB"/>
        </w:rPr>
        <w:t>-e</w:t>
      </w:r>
      <w:r w:rsidR="00627FC7">
        <w:rPr>
          <w:rFonts w:eastAsia="맑은 고딕"/>
          <w:bCs/>
          <w:noProof w:val="0"/>
          <w:sz w:val="24"/>
          <w:lang w:val="en-GB" w:eastAsia="ko-KR"/>
        </w:rPr>
        <w:tab/>
        <w:t>R3-205063</w:t>
      </w:r>
    </w:p>
    <w:p w:rsidR="00AF1A57" w:rsidRPr="00076C1C" w:rsidRDefault="00D22E21" w:rsidP="00AF1A57">
      <w:pPr>
        <w:pStyle w:val="a5"/>
        <w:tabs>
          <w:tab w:val="right" w:pos="9639"/>
        </w:tabs>
        <w:rPr>
          <w:bCs/>
          <w:noProof w:val="0"/>
          <w:sz w:val="24"/>
          <w:lang w:val="en-GB"/>
        </w:rPr>
      </w:pPr>
      <w:r>
        <w:rPr>
          <w:sz w:val="24"/>
        </w:rPr>
        <w:t>1</w:t>
      </w:r>
      <w:r w:rsidR="002A5827">
        <w:rPr>
          <w:sz w:val="24"/>
        </w:rPr>
        <w:t>7</w:t>
      </w:r>
      <w:r w:rsidR="0085616A" w:rsidRPr="00E2348B">
        <w:rPr>
          <w:sz w:val="24"/>
        </w:rPr>
        <w:t xml:space="preserve"> -</w:t>
      </w:r>
      <w:r w:rsidR="0085616A">
        <w:rPr>
          <w:sz w:val="24"/>
        </w:rPr>
        <w:t xml:space="preserve"> </w:t>
      </w:r>
      <w:r w:rsidR="002A5827">
        <w:rPr>
          <w:sz w:val="24"/>
        </w:rPr>
        <w:t>28</w:t>
      </w:r>
      <w:r w:rsidR="0085616A" w:rsidRPr="00E2348B">
        <w:rPr>
          <w:sz w:val="24"/>
        </w:rPr>
        <w:t xml:space="preserve"> </w:t>
      </w:r>
      <w:r w:rsidR="002A5827">
        <w:rPr>
          <w:sz w:val="24"/>
        </w:rPr>
        <w:t>Aug.</w:t>
      </w:r>
      <w:r w:rsidR="0085616A" w:rsidRPr="00E2348B">
        <w:rPr>
          <w:sz w:val="24"/>
        </w:rPr>
        <w:t xml:space="preserve"> 2020, E-Meeting</w:t>
      </w:r>
      <w:bookmarkStart w:id="0" w:name="_GoBack"/>
      <w:bookmarkEnd w:id="0"/>
    </w:p>
    <w:p w:rsidR="00AC3F44" w:rsidRPr="00CE16E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7861D4">
        <w:rPr>
          <w:rFonts w:cs="Arial"/>
          <w:b/>
          <w:bCs/>
          <w:sz w:val="24"/>
        </w:rPr>
        <w:t>13</w:t>
      </w:r>
      <w:r w:rsidR="000C2CB2">
        <w:rPr>
          <w:rFonts w:eastAsia="맑은 고딕" w:cs="Arial"/>
          <w:b/>
          <w:bCs/>
          <w:sz w:val="24"/>
          <w:lang w:eastAsia="ko-KR"/>
        </w:rPr>
        <w:t>.</w:t>
      </w:r>
      <w:r w:rsidR="00324FD1">
        <w:rPr>
          <w:rFonts w:eastAsia="맑은 고딕" w:cs="Arial"/>
          <w:b/>
          <w:bCs/>
          <w:sz w:val="24"/>
          <w:lang w:eastAsia="ko-KR"/>
        </w:rPr>
        <w:t>2.2</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7861D4">
        <w:rPr>
          <w:rFonts w:ascii="Arial" w:hAnsi="Arial" w:cs="Arial"/>
          <w:b/>
          <w:bCs/>
          <w:sz w:val="24"/>
        </w:rPr>
        <w:t>Consideration on IAB Node Migration</w:t>
      </w:r>
      <w:r w:rsidR="00FA4246">
        <w:rPr>
          <w:rFonts w:ascii="Arial" w:hAnsi="Arial" w:cs="Arial"/>
          <w:b/>
          <w:bCs/>
          <w:sz w:val="24"/>
        </w:rPr>
        <w:t xml:space="preserve"> for Mobile Scenarios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605B4D" w:rsidRDefault="00605B4D" w:rsidP="00571757">
      <w:pPr>
        <w:jc w:val="both"/>
        <w:rPr>
          <w:rFonts w:eastAsiaTheme="minorEastAsia"/>
          <w:lang w:val="en-GB" w:eastAsia="ko-KR"/>
        </w:rPr>
      </w:pPr>
      <w:r w:rsidRPr="00662241">
        <w:rPr>
          <w:rFonts w:eastAsia="맑은 고딕"/>
          <w:lang w:eastAsia="ko-KR"/>
        </w:rPr>
        <w:t xml:space="preserve">The new WID [1] on IAB enhancement was approved. On </w:t>
      </w:r>
      <w:r w:rsidR="00DE64E1" w:rsidRPr="00DE64E1">
        <w:rPr>
          <w:rFonts w:eastAsia="맑은 고딕"/>
          <w:lang w:eastAsia="ko-KR"/>
        </w:rPr>
        <w:t>IAB Node Migration</w:t>
      </w:r>
      <w:r w:rsidRPr="00662241">
        <w:rPr>
          <w:rFonts w:eastAsia="맑은 고딕"/>
          <w:lang w:eastAsia="ko-KR"/>
        </w:rPr>
        <w:t xml:space="preserve">, </w:t>
      </w:r>
      <w:r w:rsidR="00DE64E1">
        <w:rPr>
          <w:rFonts w:eastAsia="맑은 고딕"/>
          <w:lang w:eastAsia="ko-KR"/>
        </w:rPr>
        <w:t>the use case</w:t>
      </w:r>
      <w:r w:rsidR="007A7409">
        <w:rPr>
          <w:rFonts w:eastAsia="맑은 고딕"/>
          <w:lang w:eastAsia="ko-KR"/>
        </w:rPr>
        <w:t>s</w:t>
      </w:r>
      <w:r w:rsidR="00DE64E1">
        <w:rPr>
          <w:rFonts w:eastAsia="맑은 고딕"/>
          <w:lang w:eastAsia="ko-KR"/>
        </w:rPr>
        <w:t xml:space="preserve"> and potential</w:t>
      </w:r>
      <w:r w:rsidRPr="00662241">
        <w:rPr>
          <w:rFonts w:eastAsia="맑은 고딕"/>
          <w:lang w:eastAsia="ko-KR"/>
        </w:rPr>
        <w:t xml:space="preserve"> issues are necessary to </w:t>
      </w:r>
      <w:r w:rsidR="00DE64E1">
        <w:rPr>
          <w:rFonts w:eastAsia="맑은 고딕"/>
          <w:lang w:eastAsia="ko-KR"/>
        </w:rPr>
        <w:t>be identified</w:t>
      </w:r>
      <w:r w:rsidRPr="00662241">
        <w:rPr>
          <w:rFonts w:eastAsia="맑은 고딕"/>
          <w:lang w:eastAsia="ko-KR"/>
        </w:rPr>
        <w:t xml:space="preserve">. </w:t>
      </w:r>
      <w:r w:rsidRPr="00662241">
        <w:t>This paper is to investigate them initially from high level point of view</w:t>
      </w:r>
      <w:r w:rsidRPr="00662241">
        <w:rPr>
          <w:rFonts w:eastAsia="맑은 고딕"/>
          <w:lang w:val="en-GB" w:eastAsia="ko-KR"/>
        </w:rPr>
        <w:t>. The corresponding proposals are also provided.</w:t>
      </w:r>
    </w:p>
    <w:p w:rsidR="00593D3B" w:rsidRPr="006F71D0" w:rsidRDefault="00593D3B"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Default="00BA6254" w:rsidP="00C72DBF">
      <w:pPr>
        <w:jc w:val="both"/>
        <w:rPr>
          <w:rFonts w:eastAsia="맑은 고딕"/>
          <w:lang w:eastAsia="ko-KR"/>
        </w:rPr>
      </w:pPr>
      <w:r>
        <w:rPr>
          <w:rFonts w:eastAsia="맑은 고딕"/>
          <w:lang w:eastAsia="ko-KR"/>
        </w:rPr>
        <w:t xml:space="preserve">In RAN#86, the new WID </w:t>
      </w:r>
      <w:r w:rsidR="00C469A6">
        <w:rPr>
          <w:rFonts w:eastAsia="맑은 고딕"/>
          <w:lang w:eastAsia="ko-KR"/>
        </w:rPr>
        <w:t xml:space="preserve">[1] </w:t>
      </w:r>
      <w:r w:rsidR="00217A98">
        <w:rPr>
          <w:rFonts w:eastAsia="맑은 고딕"/>
          <w:lang w:eastAsia="ko-KR"/>
        </w:rPr>
        <w:t xml:space="preserve">on IAB enhancement was approved, in which partial of the objectives are shown below: </w:t>
      </w:r>
    </w:p>
    <w:p w:rsidR="003071C6" w:rsidRDefault="003071C6" w:rsidP="003071C6">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071C6" w:rsidTr="00F171F1">
        <w:tc>
          <w:tcPr>
            <w:tcW w:w="9857" w:type="dxa"/>
            <w:shd w:val="clear" w:color="auto" w:fill="auto"/>
          </w:tcPr>
          <w:p w:rsidR="003071C6" w:rsidRPr="003071C6" w:rsidRDefault="003071C6" w:rsidP="003071C6">
            <w:pPr>
              <w:spacing w:after="120"/>
              <w:ind w:firstLineChars="50" w:firstLine="100"/>
              <w:rPr>
                <w:rFonts w:eastAsiaTheme="minorEastAsia"/>
                <w:bCs/>
                <w:i/>
                <w:lang w:eastAsia="ko-KR"/>
              </w:rPr>
            </w:pPr>
            <w:r>
              <w:rPr>
                <w:rFonts w:eastAsiaTheme="minorEastAsia"/>
                <w:bCs/>
                <w:i/>
                <w:lang w:eastAsia="ko-KR"/>
              </w:rPr>
              <w:t>…</w:t>
            </w:r>
          </w:p>
          <w:p w:rsidR="003071C6" w:rsidRPr="00217A98" w:rsidRDefault="003071C6" w:rsidP="003071C6">
            <w:pPr>
              <w:spacing w:after="120"/>
              <w:ind w:firstLineChars="50" w:firstLine="100"/>
              <w:rPr>
                <w:bCs/>
                <w:i/>
              </w:rPr>
            </w:pPr>
            <w:r w:rsidRPr="00217A98">
              <w:rPr>
                <w:bCs/>
                <w:i/>
              </w:rPr>
              <w:t>Topology adaptation enhancements [RAN3-led, RAN2]:</w:t>
            </w:r>
          </w:p>
          <w:p w:rsidR="003071C6" w:rsidRPr="00FA4246" w:rsidRDefault="003071C6" w:rsidP="003071C6">
            <w:pPr>
              <w:numPr>
                <w:ilvl w:val="0"/>
                <w:numId w:val="16"/>
              </w:numPr>
              <w:overflowPunct/>
              <w:autoSpaceDE/>
              <w:autoSpaceDN/>
              <w:adjustRightInd/>
              <w:spacing w:after="60"/>
              <w:textAlignment w:val="auto"/>
              <w:rPr>
                <w:b/>
                <w:i/>
              </w:rPr>
            </w:pPr>
            <w:r w:rsidRPr="00FA4246">
              <w:rPr>
                <w:b/>
                <w:i/>
              </w:rPr>
              <w:t xml:space="preserve">Specification of procedures for inter-donor IAB-node migration to enhance robustness and load-balancing, including enhancements to reduce </w:t>
            </w:r>
            <w:proofErr w:type="spellStart"/>
            <w:r w:rsidRPr="00FA4246">
              <w:rPr>
                <w:b/>
                <w:i/>
              </w:rPr>
              <w:t>signalling</w:t>
            </w:r>
            <w:proofErr w:type="spellEnd"/>
            <w:r w:rsidRPr="00FA4246">
              <w:rPr>
                <w:b/>
                <w:i/>
              </w:rPr>
              <w:t xml:space="preserve"> load.   </w:t>
            </w:r>
          </w:p>
          <w:p w:rsidR="003071C6" w:rsidRPr="00FA4246" w:rsidRDefault="003071C6" w:rsidP="003071C6">
            <w:pPr>
              <w:numPr>
                <w:ilvl w:val="0"/>
                <w:numId w:val="16"/>
              </w:numPr>
              <w:overflowPunct/>
              <w:autoSpaceDE/>
              <w:autoSpaceDN/>
              <w:adjustRightInd/>
              <w:spacing w:after="60"/>
              <w:textAlignment w:val="auto"/>
              <w:rPr>
                <w:b/>
                <w:i/>
              </w:rPr>
            </w:pPr>
            <w:r w:rsidRPr="00FA4246">
              <w:rPr>
                <w:b/>
                <w:i/>
              </w:rPr>
              <w:t>Specification of enhancements to reduce service interruption due to IAB-node migration and BH RLF recovery.</w:t>
            </w:r>
          </w:p>
          <w:p w:rsidR="003071C6" w:rsidRPr="00217A98" w:rsidRDefault="003071C6" w:rsidP="003071C6">
            <w:pPr>
              <w:numPr>
                <w:ilvl w:val="0"/>
                <w:numId w:val="16"/>
              </w:numPr>
              <w:overflowPunct/>
              <w:autoSpaceDE/>
              <w:autoSpaceDN/>
              <w:adjustRightInd/>
              <w:spacing w:after="60"/>
              <w:textAlignment w:val="auto"/>
              <w:rPr>
                <w:i/>
              </w:rPr>
            </w:pPr>
            <w:r w:rsidRPr="00217A98">
              <w:rPr>
                <w:i/>
              </w:rPr>
              <w:t>Specification of enhancements to topological redundancy, including support of CP/UP separation</w:t>
            </w:r>
          </w:p>
          <w:p w:rsidR="003071C6" w:rsidRPr="003071C6" w:rsidRDefault="003071C6" w:rsidP="003071C6">
            <w:pPr>
              <w:spacing w:before="60" w:after="60"/>
              <w:rPr>
                <w:rFonts w:eastAsiaTheme="minorEastAsia"/>
                <w:lang w:eastAsia="ko-KR"/>
              </w:rPr>
            </w:pPr>
            <w:r>
              <w:rPr>
                <w:rFonts w:eastAsiaTheme="minorEastAsia"/>
                <w:lang w:eastAsia="ko-KR"/>
              </w:rPr>
              <w:t>…</w:t>
            </w:r>
          </w:p>
        </w:tc>
      </w:tr>
    </w:tbl>
    <w:p w:rsidR="00BA0321" w:rsidRPr="00217A98" w:rsidRDefault="00BA0321" w:rsidP="00536560">
      <w:pPr>
        <w:jc w:val="both"/>
        <w:rPr>
          <w:rFonts w:eastAsia="맑은 고딕"/>
          <w:lang w:eastAsia="ko-KR"/>
        </w:rPr>
      </w:pPr>
    </w:p>
    <w:p w:rsidR="00217A98" w:rsidRPr="00217A98" w:rsidRDefault="00FA4246" w:rsidP="00536560">
      <w:pPr>
        <w:jc w:val="both"/>
        <w:rPr>
          <w:rFonts w:eastAsia="맑은 고딕"/>
          <w:lang w:eastAsia="ko-KR"/>
        </w:rPr>
      </w:pPr>
      <w:r>
        <w:rPr>
          <w:rFonts w:eastAsia="맑은 고딕" w:hint="eastAsia"/>
          <w:lang w:eastAsia="ko-KR"/>
        </w:rPr>
        <w:t>In the following sections, the</w:t>
      </w:r>
      <w:r>
        <w:rPr>
          <w:rFonts w:eastAsia="맑은 고딕"/>
          <w:lang w:eastAsia="ko-KR"/>
        </w:rPr>
        <w:t xml:space="preserve"> scenarios and potential issues are to be investigated. </w:t>
      </w:r>
    </w:p>
    <w:p w:rsidR="00C7601B" w:rsidRDefault="00FA4246" w:rsidP="00C7601B">
      <w:pPr>
        <w:jc w:val="both"/>
        <w:rPr>
          <w:rFonts w:eastAsia="맑은 고딕"/>
          <w:b/>
          <w:sz w:val="28"/>
          <w:szCs w:val="28"/>
          <w:lang w:eastAsia="ko-KR"/>
        </w:rPr>
      </w:pPr>
      <w:r>
        <w:rPr>
          <w:rFonts w:eastAsia="맑은 고딕"/>
          <w:b/>
          <w:sz w:val="28"/>
          <w:szCs w:val="28"/>
          <w:lang w:eastAsia="ko-KR"/>
        </w:rPr>
        <w:t xml:space="preserve">2.1 </w:t>
      </w:r>
      <w:r>
        <w:rPr>
          <w:rFonts w:eastAsia="맑은 고딕" w:hint="eastAsia"/>
          <w:b/>
          <w:sz w:val="28"/>
          <w:szCs w:val="28"/>
          <w:lang w:eastAsia="ko-KR"/>
        </w:rPr>
        <w:t>Scenarios</w:t>
      </w:r>
    </w:p>
    <w:p w:rsidR="00FA4246" w:rsidRPr="008900D5" w:rsidRDefault="009B7113" w:rsidP="00245059">
      <w:pPr>
        <w:jc w:val="both"/>
        <w:rPr>
          <w:rFonts w:eastAsia="맑은 고딕"/>
          <w:lang w:eastAsia="ko-KR"/>
        </w:rPr>
      </w:pPr>
      <w:r>
        <w:rPr>
          <w:rFonts w:eastAsia="맑은 고딕" w:hint="eastAsia"/>
          <w:lang w:eastAsia="ko-KR"/>
        </w:rPr>
        <w:t>In Rel-12, the mobile relay was studied [</w:t>
      </w:r>
      <w:r w:rsidR="00C469A6">
        <w:rPr>
          <w:rFonts w:eastAsia="맑은 고딕"/>
          <w:lang w:eastAsia="ko-KR"/>
        </w:rPr>
        <w:t>2</w:t>
      </w:r>
      <w:r>
        <w:rPr>
          <w:rFonts w:eastAsia="맑은 고딕" w:hint="eastAsia"/>
          <w:lang w:eastAsia="ko-KR"/>
        </w:rPr>
        <w:t>]</w:t>
      </w:r>
      <w:r w:rsidR="000E7EAE">
        <w:rPr>
          <w:rFonts w:eastAsia="맑은 고딕"/>
          <w:lang w:eastAsia="ko-KR"/>
        </w:rPr>
        <w:t xml:space="preserve">, in which the main use case was focused on high speed trains. For the current approved WID, the use cases can be as general as possible, which include trains, buses, and other vehicles. The UEs inside can receive the NR service from the IAB node, which may be mounted on top of the vehicles and the backhauling is also provided by NR frequencies. </w:t>
      </w:r>
    </w:p>
    <w:p w:rsidR="0091165C" w:rsidRPr="0091165C" w:rsidRDefault="0091165C" w:rsidP="0091165C">
      <w:pPr>
        <w:jc w:val="both"/>
        <w:rPr>
          <w:rFonts w:eastAsia="맑은 고딕"/>
          <w:lang w:eastAsia="ko-KR"/>
        </w:rPr>
      </w:pPr>
      <w:r>
        <w:rPr>
          <w:rFonts w:eastAsia="맑은 고딕"/>
          <w:b/>
          <w:lang w:eastAsia="ko-KR"/>
        </w:rPr>
        <w:t xml:space="preserve">Proposal 1): To </w:t>
      </w:r>
      <w:r w:rsidR="00F235F5">
        <w:rPr>
          <w:rFonts w:eastAsia="맑은 고딕"/>
          <w:b/>
          <w:lang w:eastAsia="ko-KR"/>
        </w:rPr>
        <w:t>take</w:t>
      </w:r>
      <w:r w:rsidR="000E7EAE">
        <w:rPr>
          <w:rFonts w:eastAsia="맑은 고딕"/>
          <w:b/>
          <w:lang w:eastAsia="ko-KR"/>
        </w:rPr>
        <w:t xml:space="preserve"> trains, buses and other vehicles</w:t>
      </w:r>
      <w:r w:rsidR="00F235F5">
        <w:rPr>
          <w:rFonts w:eastAsia="맑은 고딕"/>
          <w:b/>
          <w:lang w:eastAsia="ko-KR"/>
        </w:rPr>
        <w:t xml:space="preserve"> into account</w:t>
      </w:r>
      <w:r w:rsidR="000E7EAE">
        <w:rPr>
          <w:rFonts w:eastAsia="맑은 고딕"/>
          <w:b/>
          <w:lang w:eastAsia="ko-KR"/>
        </w:rPr>
        <w:t xml:space="preserve"> as the mobile use cases. </w:t>
      </w:r>
    </w:p>
    <w:p w:rsidR="005E794D" w:rsidRDefault="005E794D" w:rsidP="00762C49">
      <w:pPr>
        <w:jc w:val="both"/>
        <w:rPr>
          <w:rFonts w:eastAsia="맑은 고딕"/>
          <w:lang w:eastAsia="ko-KR"/>
        </w:rPr>
      </w:pPr>
    </w:p>
    <w:p w:rsidR="00FA4246" w:rsidRDefault="00FA4246" w:rsidP="00FA4246">
      <w:pPr>
        <w:jc w:val="both"/>
        <w:rPr>
          <w:rFonts w:eastAsia="맑은 고딕"/>
          <w:b/>
          <w:sz w:val="28"/>
          <w:szCs w:val="28"/>
          <w:lang w:eastAsia="ko-KR"/>
        </w:rPr>
      </w:pPr>
      <w:r>
        <w:rPr>
          <w:rFonts w:eastAsia="맑은 고딕"/>
          <w:b/>
          <w:sz w:val="28"/>
          <w:szCs w:val="28"/>
          <w:lang w:eastAsia="ko-KR"/>
        </w:rPr>
        <w:t>2.2 Potential issues</w:t>
      </w:r>
      <w:r w:rsidR="00057482">
        <w:rPr>
          <w:rFonts w:eastAsia="맑은 고딕"/>
          <w:b/>
          <w:sz w:val="28"/>
          <w:szCs w:val="28"/>
          <w:lang w:eastAsia="ko-KR"/>
        </w:rPr>
        <w:t xml:space="preserve"> for mobile IAB</w:t>
      </w:r>
    </w:p>
    <w:p w:rsidR="009B2A1F" w:rsidRPr="004D2A48" w:rsidRDefault="00B72CC1" w:rsidP="0011136E">
      <w:pPr>
        <w:overflowPunct/>
        <w:autoSpaceDE/>
        <w:autoSpaceDN/>
        <w:adjustRightInd/>
        <w:textAlignment w:val="auto"/>
        <w:rPr>
          <w:rFonts w:eastAsiaTheme="minorEastAsia"/>
          <w:bCs/>
          <w:lang w:eastAsia="ko-KR"/>
        </w:rPr>
      </w:pPr>
      <w:r>
        <w:rPr>
          <w:rFonts w:eastAsiaTheme="minorEastAsia"/>
          <w:bCs/>
          <w:lang w:eastAsia="ko-KR"/>
        </w:rPr>
        <w:t xml:space="preserve">In Release 12 mobile relay, several issues had been studied. In the current WI, they share some common issues. </w:t>
      </w:r>
    </w:p>
    <w:p w:rsidR="00B72CC1" w:rsidRPr="00B72CC1" w:rsidRDefault="00B72CC1" w:rsidP="0011136E">
      <w:pPr>
        <w:overflowPunct/>
        <w:autoSpaceDE/>
        <w:autoSpaceDN/>
        <w:adjustRightInd/>
        <w:textAlignment w:val="auto"/>
        <w:rPr>
          <w:rFonts w:eastAsiaTheme="minorEastAsia"/>
          <w:bCs/>
          <w:lang w:eastAsia="ko-KR"/>
        </w:rPr>
      </w:pPr>
      <w:r>
        <w:rPr>
          <w:rFonts w:eastAsiaTheme="minorEastAsia" w:hint="eastAsia"/>
          <w:bCs/>
          <w:lang w:eastAsia="ko-KR"/>
        </w:rPr>
        <w:t xml:space="preserve">For achieving the objective </w:t>
      </w:r>
      <w:r>
        <w:rPr>
          <w:rFonts w:eastAsiaTheme="minorEastAsia"/>
          <w:bCs/>
          <w:lang w:eastAsia="ko-KR"/>
        </w:rPr>
        <w:t>“</w:t>
      </w:r>
      <w:r w:rsidRPr="00B72CC1">
        <w:rPr>
          <w:rFonts w:eastAsiaTheme="minorEastAsia"/>
          <w:bCs/>
          <w:i/>
          <w:lang w:eastAsia="ko-KR"/>
        </w:rPr>
        <w:t>to reduce service interruption due to IAB-node migration</w:t>
      </w:r>
      <w:r>
        <w:rPr>
          <w:rFonts w:eastAsiaTheme="minorEastAsia"/>
          <w:bCs/>
          <w:lang w:eastAsia="ko-KR"/>
        </w:rPr>
        <w:t>”,</w:t>
      </w:r>
      <w:r w:rsidR="00CE6A0C">
        <w:rPr>
          <w:rFonts w:eastAsiaTheme="minorEastAsia"/>
          <w:bCs/>
          <w:lang w:eastAsia="ko-KR"/>
        </w:rPr>
        <w:t xml:space="preserve"> the following main</w:t>
      </w:r>
      <w:r>
        <w:rPr>
          <w:rFonts w:eastAsiaTheme="minorEastAsia"/>
          <w:bCs/>
          <w:lang w:eastAsia="ko-KR"/>
        </w:rPr>
        <w:t xml:space="preserve"> issues can be considered. </w:t>
      </w:r>
    </w:p>
    <w:p w:rsidR="00F76DA7" w:rsidRDefault="00B72CC1" w:rsidP="0074397A">
      <w:pPr>
        <w:overflowPunct/>
        <w:autoSpaceDE/>
        <w:autoSpaceDN/>
        <w:adjustRightInd/>
        <w:textAlignment w:val="auto"/>
        <w:rPr>
          <w:rFonts w:eastAsiaTheme="minorEastAsia"/>
          <w:bCs/>
          <w:lang w:eastAsia="ko-KR"/>
        </w:rPr>
      </w:pPr>
      <w:r>
        <w:rPr>
          <w:bCs/>
          <w:lang w:eastAsia="zh-CN"/>
        </w:rPr>
        <w:t xml:space="preserve">Firstly </w:t>
      </w:r>
      <w:r w:rsidR="0074397A">
        <w:rPr>
          <w:bCs/>
          <w:lang w:eastAsia="zh-CN"/>
        </w:rPr>
        <w:t xml:space="preserve">on </w:t>
      </w:r>
      <w:r w:rsidR="00F76DA7">
        <w:rPr>
          <w:rFonts w:hint="eastAsia"/>
          <w:bCs/>
          <w:lang w:eastAsia="zh-CN"/>
        </w:rPr>
        <w:t>M</w:t>
      </w:r>
      <w:r w:rsidR="00F76DA7">
        <w:rPr>
          <w:bCs/>
          <w:lang w:eastAsia="zh-CN"/>
        </w:rPr>
        <w:t xml:space="preserve">obile IAB </w:t>
      </w:r>
      <w:r w:rsidR="0074397A">
        <w:rPr>
          <w:bCs/>
          <w:lang w:eastAsia="zh-CN"/>
        </w:rPr>
        <w:t xml:space="preserve">cell specific </w:t>
      </w:r>
      <w:r w:rsidR="00F76DA7">
        <w:rPr>
          <w:bCs/>
          <w:lang w:eastAsia="zh-CN"/>
        </w:rPr>
        <w:t>configuration</w:t>
      </w:r>
      <w:r w:rsidR="0074397A">
        <w:rPr>
          <w:bCs/>
          <w:lang w:eastAsia="zh-CN"/>
        </w:rPr>
        <w:t xml:space="preserve">, i.e., </w:t>
      </w:r>
      <w:r w:rsidR="0074397A">
        <w:rPr>
          <w:bCs/>
        </w:rPr>
        <w:t xml:space="preserve">PCI, </w:t>
      </w:r>
      <w:r w:rsidR="00F76DA7" w:rsidRPr="00B11428">
        <w:rPr>
          <w:bCs/>
        </w:rPr>
        <w:t>cel</w:t>
      </w:r>
      <w:r w:rsidR="0074397A">
        <w:rPr>
          <w:bCs/>
        </w:rPr>
        <w:t xml:space="preserve">l ID and TAI allocation. </w:t>
      </w:r>
      <w:r w:rsidR="0074397A">
        <w:rPr>
          <w:rFonts w:eastAsiaTheme="minorEastAsia" w:hint="eastAsia"/>
          <w:bCs/>
          <w:lang w:eastAsia="ko-KR"/>
        </w:rPr>
        <w:t>W</w:t>
      </w:r>
      <w:r w:rsidR="0074397A">
        <w:rPr>
          <w:rFonts w:eastAsiaTheme="minorEastAsia"/>
          <w:bCs/>
          <w:lang w:eastAsia="ko-KR"/>
        </w:rPr>
        <w:t xml:space="preserve">ith the moving of mobile IAB, PCI conflict may happen with the nodes passing by. Also, cell ID and TAI’s allocation should also consider the UEs inside of vehicles so that the signaling to CN, e.g., TAU, can be reduced as more as possible. </w:t>
      </w:r>
    </w:p>
    <w:p w:rsidR="009B2A1F" w:rsidRDefault="0074397A" w:rsidP="0011136E">
      <w:pPr>
        <w:overflowPunct/>
        <w:autoSpaceDE/>
        <w:autoSpaceDN/>
        <w:adjustRightInd/>
        <w:textAlignment w:val="auto"/>
        <w:rPr>
          <w:rFonts w:eastAsiaTheme="minorEastAsia"/>
          <w:bCs/>
          <w:lang w:eastAsia="ko-KR"/>
        </w:rPr>
      </w:pPr>
      <w:r>
        <w:rPr>
          <w:rFonts w:eastAsiaTheme="minorEastAsia"/>
          <w:bCs/>
          <w:lang w:eastAsia="ko-KR"/>
        </w:rPr>
        <w:lastRenderedPageBreak/>
        <w:t xml:space="preserve">Secondly, </w:t>
      </w:r>
      <w:r w:rsidR="007D2118">
        <w:rPr>
          <w:rFonts w:eastAsiaTheme="minorEastAsia"/>
          <w:bCs/>
          <w:lang w:eastAsia="ko-KR"/>
        </w:rPr>
        <w:t xml:space="preserve">UE </w:t>
      </w:r>
      <w:r>
        <w:rPr>
          <w:rFonts w:eastAsiaTheme="minorEastAsia"/>
          <w:bCs/>
          <w:lang w:eastAsia="ko-KR"/>
        </w:rPr>
        <w:t>group m</w:t>
      </w:r>
      <w:r>
        <w:rPr>
          <w:rFonts w:eastAsiaTheme="minorEastAsia" w:hint="eastAsia"/>
          <w:bCs/>
          <w:lang w:eastAsia="ko-KR"/>
        </w:rPr>
        <w:t>obi</w:t>
      </w:r>
      <w:r w:rsidR="00C6449F">
        <w:rPr>
          <w:rFonts w:eastAsiaTheme="minorEastAsia" w:hint="eastAsia"/>
          <w:bCs/>
          <w:lang w:eastAsia="ko-KR"/>
        </w:rPr>
        <w:t>lity is an issue to solve</w:t>
      </w:r>
      <w:r w:rsidR="00841E9D">
        <w:rPr>
          <w:rFonts w:eastAsiaTheme="minorEastAsia" w:hint="eastAsia"/>
          <w:bCs/>
          <w:lang w:eastAsia="ko-KR"/>
        </w:rPr>
        <w:t xml:space="preserve">, which is mainly to </w:t>
      </w:r>
      <w:r w:rsidR="00841E9D">
        <w:rPr>
          <w:rFonts w:eastAsiaTheme="minorEastAsia"/>
          <w:bCs/>
          <w:lang w:eastAsia="ko-KR"/>
        </w:rPr>
        <w:t xml:space="preserve">avoid each UE performing handover due to the moving of IAB node. That is, with mobile IAB’s handover, UE’s handover can be completed automatically. The solution for Rel-12 mobile relay in [2] can be referred to. </w:t>
      </w:r>
    </w:p>
    <w:p w:rsidR="00841E9D" w:rsidRDefault="00CE6A0C" w:rsidP="0011136E">
      <w:pPr>
        <w:overflowPunct/>
        <w:autoSpaceDE/>
        <w:autoSpaceDN/>
        <w:adjustRightInd/>
        <w:textAlignment w:val="auto"/>
        <w:rPr>
          <w:rFonts w:eastAsiaTheme="minorEastAsia"/>
          <w:bCs/>
          <w:lang w:eastAsia="ko-KR"/>
        </w:rPr>
      </w:pPr>
      <w:r>
        <w:rPr>
          <w:rFonts w:eastAsiaTheme="minorEastAsia"/>
          <w:bCs/>
          <w:lang w:eastAsia="ko-KR"/>
        </w:rPr>
        <w:t xml:space="preserve">Thirdly, </w:t>
      </w:r>
      <w:r w:rsidR="007D2118">
        <w:rPr>
          <w:rFonts w:eastAsiaTheme="minorEastAsia"/>
          <w:bCs/>
          <w:lang w:eastAsia="ko-KR"/>
        </w:rPr>
        <w:t xml:space="preserve">for mobile IAB case, donor CU has to be changed from time to time. For service continuity, the mobility enhancement solution in Rel-16 can be considered, for example, </w:t>
      </w:r>
      <w:r w:rsidR="00F75917">
        <w:rPr>
          <w:rFonts w:eastAsiaTheme="minorEastAsia"/>
          <w:bCs/>
          <w:lang w:eastAsia="ko-KR"/>
        </w:rPr>
        <w:t xml:space="preserve">DAPS or DC based solution can be used for seamless backhaul change from one to another. </w:t>
      </w:r>
    </w:p>
    <w:p w:rsidR="008B53C6" w:rsidRDefault="008B53C6" w:rsidP="0011136E">
      <w:pPr>
        <w:overflowPunct/>
        <w:autoSpaceDE/>
        <w:autoSpaceDN/>
        <w:adjustRightInd/>
        <w:textAlignment w:val="auto"/>
        <w:rPr>
          <w:rFonts w:eastAsiaTheme="minorEastAsia"/>
          <w:bCs/>
          <w:lang w:eastAsia="ko-KR"/>
        </w:rPr>
      </w:pPr>
      <w:r>
        <w:rPr>
          <w:rFonts w:eastAsiaTheme="minorEastAsia"/>
          <w:bCs/>
          <w:lang w:eastAsia="ko-KR"/>
        </w:rPr>
        <w:t xml:space="preserve">So from high level point of view, the following issues are proposed for consideration. </w:t>
      </w:r>
    </w:p>
    <w:p w:rsidR="008B53C6" w:rsidRDefault="008B53C6" w:rsidP="008B53C6">
      <w:pPr>
        <w:jc w:val="both"/>
        <w:rPr>
          <w:rFonts w:eastAsia="맑은 고딕"/>
          <w:b/>
          <w:lang w:eastAsia="ko-KR"/>
        </w:rPr>
      </w:pPr>
      <w:r>
        <w:rPr>
          <w:rFonts w:eastAsia="맑은 고딕"/>
          <w:b/>
          <w:lang w:eastAsia="ko-KR"/>
        </w:rPr>
        <w:t xml:space="preserve">Proposal 2): To consider the following issues for mobile IAB: </w:t>
      </w:r>
    </w:p>
    <w:p w:rsidR="008B53C6" w:rsidRPr="008B53C6" w:rsidRDefault="008B53C6" w:rsidP="008B53C6">
      <w:pPr>
        <w:pStyle w:val="af5"/>
        <w:numPr>
          <w:ilvl w:val="0"/>
          <w:numId w:val="24"/>
        </w:numPr>
        <w:jc w:val="both"/>
        <w:rPr>
          <w:rFonts w:eastAsia="맑은 고딕"/>
          <w:lang w:eastAsia="ko-KR"/>
        </w:rPr>
      </w:pPr>
      <w:r w:rsidRPr="008B53C6">
        <w:rPr>
          <w:rFonts w:eastAsia="맑은 고딕"/>
          <w:b/>
          <w:lang w:eastAsia="ko-KR"/>
        </w:rPr>
        <w:t>Mobile IAB</w:t>
      </w:r>
      <w:r>
        <w:rPr>
          <w:rFonts w:eastAsia="맑은 고딕"/>
          <w:b/>
          <w:lang w:eastAsia="ko-KR"/>
        </w:rPr>
        <w:t xml:space="preserve">’s </w:t>
      </w:r>
      <w:r w:rsidRPr="008B53C6">
        <w:rPr>
          <w:rFonts w:eastAsia="맑은 고딕"/>
          <w:b/>
          <w:lang w:eastAsia="ko-KR"/>
        </w:rPr>
        <w:t>cell specific configuration, i.e., PCI, cell ID and TAI allocation</w:t>
      </w:r>
    </w:p>
    <w:p w:rsidR="008B53C6" w:rsidRDefault="008B53C6" w:rsidP="008B53C6">
      <w:pPr>
        <w:pStyle w:val="af5"/>
        <w:numPr>
          <w:ilvl w:val="0"/>
          <w:numId w:val="24"/>
        </w:numPr>
        <w:jc w:val="both"/>
        <w:rPr>
          <w:rFonts w:eastAsia="맑은 고딕"/>
          <w:b/>
          <w:lang w:eastAsia="ko-KR"/>
        </w:rPr>
      </w:pPr>
      <w:r>
        <w:rPr>
          <w:rFonts w:eastAsia="맑은 고딕"/>
          <w:b/>
          <w:lang w:eastAsia="ko-KR"/>
        </w:rPr>
        <w:t>G</w:t>
      </w:r>
      <w:r w:rsidRPr="008B53C6">
        <w:rPr>
          <w:rFonts w:eastAsia="맑은 고딕"/>
          <w:b/>
          <w:lang w:eastAsia="ko-KR"/>
        </w:rPr>
        <w:t>roup mobility</w:t>
      </w:r>
      <w:r>
        <w:rPr>
          <w:rFonts w:eastAsia="맑은 고딕"/>
          <w:b/>
          <w:lang w:eastAsia="ko-KR"/>
        </w:rPr>
        <w:t xml:space="preserve"> for UEs in the vehicles</w:t>
      </w:r>
    </w:p>
    <w:p w:rsidR="008B53C6" w:rsidRPr="008B53C6" w:rsidRDefault="008B53C6" w:rsidP="008B53C6">
      <w:pPr>
        <w:pStyle w:val="af5"/>
        <w:numPr>
          <w:ilvl w:val="0"/>
          <w:numId w:val="24"/>
        </w:numPr>
        <w:jc w:val="both"/>
        <w:rPr>
          <w:rFonts w:eastAsia="맑은 고딕"/>
          <w:b/>
          <w:lang w:eastAsia="ko-KR"/>
        </w:rPr>
      </w:pPr>
      <w:r>
        <w:rPr>
          <w:rFonts w:eastAsia="맑은 고딕"/>
          <w:b/>
          <w:lang w:eastAsia="ko-KR"/>
        </w:rPr>
        <w:t>DAPS/DC based inter Donor CU’</w:t>
      </w:r>
      <w:r w:rsidR="000451CA">
        <w:rPr>
          <w:rFonts w:eastAsia="맑은 고딕"/>
          <w:b/>
          <w:lang w:eastAsia="ko-KR"/>
        </w:rPr>
        <w:t>s</w:t>
      </w:r>
      <w:r>
        <w:rPr>
          <w:rFonts w:eastAsia="맑은 고딕"/>
          <w:b/>
          <w:lang w:eastAsia="ko-KR"/>
        </w:rPr>
        <w:t xml:space="preserve"> change</w:t>
      </w:r>
    </w:p>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7A7409">
        <w:rPr>
          <w:lang w:eastAsia="zh-CN"/>
        </w:rPr>
        <w:t xml:space="preserve">the use cases and potential issues for </w:t>
      </w:r>
      <w:r w:rsidR="007A7409" w:rsidRPr="007A7409">
        <w:rPr>
          <w:lang w:eastAsia="zh-CN"/>
        </w:rPr>
        <w:t xml:space="preserve">IAB Node Migration </w:t>
      </w:r>
      <w:r w:rsidR="00D21FB4">
        <w:rPr>
          <w:rFonts w:eastAsia="맑은 고딕"/>
          <w:lang w:val="en-GB" w:eastAsia="ko-KR"/>
        </w:rPr>
        <w:t>were</w:t>
      </w:r>
      <w:r w:rsidR="007A7409">
        <w:rPr>
          <w:rFonts w:eastAsia="맑은 고딕"/>
          <w:lang w:val="en-GB" w:eastAsia="ko-KR"/>
        </w:rPr>
        <w:t xml:space="preserve"> initially</w:t>
      </w:r>
      <w:r w:rsidR="00D21FB4">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D21FB4">
        <w:rPr>
          <w:rFonts w:eastAsia="맑은 고딕"/>
          <w:lang w:eastAsia="ko-KR"/>
        </w:rPr>
        <w:t>s</w:t>
      </w:r>
      <w:r w:rsidR="0081628F">
        <w:rPr>
          <w:rFonts w:eastAsia="맑은 고딕" w:hint="eastAsia"/>
          <w:lang w:eastAsia="ko-KR"/>
        </w:rPr>
        <w:t xml:space="preserve"> </w:t>
      </w:r>
      <w:r w:rsidR="00D21FB4">
        <w:rPr>
          <w:rFonts w:eastAsia="맑은 고딕"/>
          <w:lang w:eastAsia="ko-KR"/>
        </w:rPr>
        <w:t>are</w:t>
      </w:r>
      <w:r w:rsidR="002E307F">
        <w:rPr>
          <w:rFonts w:eastAsia="맑은 고딕"/>
          <w:lang w:eastAsia="ko-KR"/>
        </w:rPr>
        <w:t xml:space="preserve"> </w:t>
      </w:r>
      <w:r w:rsidRPr="009C1FB2">
        <w:rPr>
          <w:rFonts w:eastAsia="맑은 고딕" w:hint="eastAsia"/>
          <w:lang w:eastAsia="ko-KR"/>
        </w:rPr>
        <w:t>suggested to RAN3:</w:t>
      </w:r>
    </w:p>
    <w:p w:rsidR="008B53C6" w:rsidRPr="0091165C" w:rsidRDefault="008B53C6" w:rsidP="008B53C6">
      <w:pPr>
        <w:jc w:val="both"/>
        <w:rPr>
          <w:rFonts w:eastAsia="맑은 고딕"/>
          <w:lang w:eastAsia="ko-KR"/>
        </w:rPr>
      </w:pPr>
      <w:r>
        <w:rPr>
          <w:rFonts w:eastAsia="맑은 고딕"/>
          <w:b/>
          <w:lang w:eastAsia="ko-KR"/>
        </w:rPr>
        <w:t xml:space="preserve">Proposal 1): To take trains, buses and other vehicles into account as the mobile use cases. </w:t>
      </w:r>
    </w:p>
    <w:p w:rsidR="008B53C6" w:rsidRDefault="008B53C6" w:rsidP="008B53C6">
      <w:pPr>
        <w:jc w:val="both"/>
        <w:rPr>
          <w:rFonts w:eastAsia="맑은 고딕"/>
          <w:b/>
          <w:lang w:eastAsia="ko-KR"/>
        </w:rPr>
      </w:pPr>
      <w:r>
        <w:rPr>
          <w:rFonts w:eastAsia="맑은 고딕"/>
          <w:b/>
          <w:lang w:eastAsia="ko-KR"/>
        </w:rPr>
        <w:t xml:space="preserve">Proposal 2): To consider the following issues for mobile IAB: </w:t>
      </w:r>
    </w:p>
    <w:p w:rsidR="008B53C6" w:rsidRPr="008B53C6" w:rsidRDefault="008B53C6" w:rsidP="008B53C6">
      <w:pPr>
        <w:pStyle w:val="af5"/>
        <w:numPr>
          <w:ilvl w:val="0"/>
          <w:numId w:val="24"/>
        </w:numPr>
        <w:jc w:val="both"/>
        <w:rPr>
          <w:rFonts w:eastAsia="맑은 고딕"/>
          <w:lang w:eastAsia="ko-KR"/>
        </w:rPr>
      </w:pPr>
      <w:r w:rsidRPr="008B53C6">
        <w:rPr>
          <w:rFonts w:eastAsia="맑은 고딕"/>
          <w:b/>
          <w:lang w:eastAsia="ko-KR"/>
        </w:rPr>
        <w:t>Mobile IAB</w:t>
      </w:r>
      <w:r>
        <w:rPr>
          <w:rFonts w:eastAsia="맑은 고딕"/>
          <w:b/>
          <w:lang w:eastAsia="ko-KR"/>
        </w:rPr>
        <w:t xml:space="preserve">’s </w:t>
      </w:r>
      <w:r w:rsidRPr="008B53C6">
        <w:rPr>
          <w:rFonts w:eastAsia="맑은 고딕"/>
          <w:b/>
          <w:lang w:eastAsia="ko-KR"/>
        </w:rPr>
        <w:t>cell specific configuration, i.e., PCI, cell ID and TAI allocation</w:t>
      </w:r>
    </w:p>
    <w:p w:rsidR="008B53C6" w:rsidRDefault="008B53C6" w:rsidP="008B53C6">
      <w:pPr>
        <w:pStyle w:val="af5"/>
        <w:numPr>
          <w:ilvl w:val="0"/>
          <w:numId w:val="24"/>
        </w:numPr>
        <w:jc w:val="both"/>
        <w:rPr>
          <w:rFonts w:eastAsia="맑은 고딕"/>
          <w:b/>
          <w:lang w:eastAsia="ko-KR"/>
        </w:rPr>
      </w:pPr>
      <w:r>
        <w:rPr>
          <w:rFonts w:eastAsia="맑은 고딕"/>
          <w:b/>
          <w:lang w:eastAsia="ko-KR"/>
        </w:rPr>
        <w:t>G</w:t>
      </w:r>
      <w:r w:rsidRPr="008B53C6">
        <w:rPr>
          <w:rFonts w:eastAsia="맑은 고딕"/>
          <w:b/>
          <w:lang w:eastAsia="ko-KR"/>
        </w:rPr>
        <w:t>roup mobility</w:t>
      </w:r>
      <w:r>
        <w:rPr>
          <w:rFonts w:eastAsia="맑은 고딕"/>
          <w:b/>
          <w:lang w:eastAsia="ko-KR"/>
        </w:rPr>
        <w:t xml:space="preserve"> for UEs in the vehicles</w:t>
      </w:r>
    </w:p>
    <w:p w:rsidR="008B53C6" w:rsidRPr="008B53C6" w:rsidRDefault="008B53C6" w:rsidP="008B53C6">
      <w:pPr>
        <w:pStyle w:val="af5"/>
        <w:numPr>
          <w:ilvl w:val="0"/>
          <w:numId w:val="24"/>
        </w:numPr>
        <w:jc w:val="both"/>
        <w:rPr>
          <w:rFonts w:eastAsia="맑은 고딕"/>
          <w:b/>
          <w:lang w:eastAsia="ko-KR"/>
        </w:rPr>
      </w:pPr>
      <w:r>
        <w:rPr>
          <w:rFonts w:eastAsia="맑은 고딕"/>
          <w:b/>
          <w:lang w:eastAsia="ko-KR"/>
        </w:rPr>
        <w:t>DAPS/DC based inter Donor CU’</w:t>
      </w:r>
      <w:r w:rsidR="000451CA">
        <w:rPr>
          <w:rFonts w:eastAsia="맑은 고딕"/>
          <w:b/>
          <w:lang w:eastAsia="ko-KR"/>
        </w:rPr>
        <w:t>s</w:t>
      </w:r>
      <w:r>
        <w:rPr>
          <w:rFonts w:eastAsia="맑은 고딕"/>
          <w:b/>
          <w:lang w:eastAsia="ko-KR"/>
        </w:rPr>
        <w:t xml:space="preserve"> change</w:t>
      </w:r>
    </w:p>
    <w:p w:rsidR="00DF63FD" w:rsidRPr="008B53C6" w:rsidRDefault="00DF63FD" w:rsidP="00DE0093">
      <w:pPr>
        <w:jc w:val="both"/>
        <w:rPr>
          <w:rFonts w:eastAsia="맑은 고딕"/>
          <w:b/>
          <w:lang w:val="en-GB" w:eastAsia="ko-KR"/>
        </w:rPr>
      </w:pPr>
    </w:p>
    <w:p w:rsidR="00AC3F44" w:rsidRPr="00711E13" w:rsidRDefault="00A304D2" w:rsidP="00A304D2">
      <w:pPr>
        <w:pStyle w:val="1"/>
        <w:ind w:left="0" w:firstLine="0"/>
      </w:pPr>
      <w:r>
        <w:t xml:space="preserve">4. </w:t>
      </w:r>
      <w:r w:rsidR="00AC3F44" w:rsidRPr="00711E13">
        <w:t>References</w:t>
      </w:r>
    </w:p>
    <w:p w:rsidR="00305C08" w:rsidRPr="00B61EEE" w:rsidRDefault="009B7113" w:rsidP="009B7113">
      <w:pPr>
        <w:numPr>
          <w:ilvl w:val="0"/>
          <w:numId w:val="1"/>
        </w:numPr>
      </w:pPr>
      <w:r>
        <w:rPr>
          <w:rFonts w:eastAsia="맑은 고딕"/>
          <w:lang w:val="en-GB" w:eastAsia="ko-KR"/>
        </w:rPr>
        <w:t>RP-201293</w:t>
      </w:r>
      <w:r w:rsidR="00305C08" w:rsidRPr="00AE5773">
        <w:rPr>
          <w:rFonts w:eastAsia="맑은 고딕"/>
          <w:lang w:val="en-GB" w:eastAsia="ko-KR"/>
        </w:rPr>
        <w:t>, “</w:t>
      </w:r>
      <w:r w:rsidRPr="009B7113">
        <w:rPr>
          <w:rFonts w:eastAsia="맑은 고딕"/>
          <w:lang w:val="en-GB" w:eastAsia="ko-KR"/>
        </w:rPr>
        <w:t>New WID on Enhancements to Integrated Access and Backhaul</w:t>
      </w:r>
      <w:r w:rsidR="00305C08" w:rsidRPr="00AE5773">
        <w:rPr>
          <w:rFonts w:eastAsia="맑은 고딕"/>
          <w:lang w:val="en-GB" w:eastAsia="ko-KR"/>
        </w:rPr>
        <w:t>”</w:t>
      </w:r>
      <w:r>
        <w:rPr>
          <w:rFonts w:eastAsia="맑은 고딕"/>
          <w:lang w:val="en-GB" w:eastAsia="ko-KR"/>
        </w:rPr>
        <w:t>, Qualcomm</w:t>
      </w:r>
    </w:p>
    <w:p w:rsidR="00904546" w:rsidRDefault="009B7113" w:rsidP="009B7113">
      <w:pPr>
        <w:pStyle w:val="af5"/>
        <w:numPr>
          <w:ilvl w:val="0"/>
          <w:numId w:val="1"/>
        </w:numPr>
      </w:pPr>
      <w:r>
        <w:rPr>
          <w:rFonts w:eastAsia="맑은 고딕"/>
          <w:lang w:eastAsia="ko-KR"/>
        </w:rPr>
        <w:t>3GPP TR 36</w:t>
      </w:r>
      <w:r w:rsidR="00305C08">
        <w:rPr>
          <w:rFonts w:eastAsia="맑은 고딕"/>
          <w:lang w:eastAsia="ko-KR"/>
        </w:rPr>
        <w:t>.8</w:t>
      </w:r>
      <w:r>
        <w:rPr>
          <w:rFonts w:eastAsia="맑은 고딕"/>
          <w:lang w:eastAsia="ko-KR"/>
        </w:rPr>
        <w:t>36 V2</w:t>
      </w:r>
      <w:r w:rsidR="00904546">
        <w:rPr>
          <w:rFonts w:eastAsia="맑은 고딕"/>
          <w:lang w:eastAsia="ko-KR"/>
        </w:rPr>
        <w:t>.0.</w:t>
      </w:r>
      <w:r>
        <w:rPr>
          <w:rFonts w:eastAsia="맑은 고딕"/>
          <w:lang w:eastAsia="ko-KR"/>
        </w:rPr>
        <w:t>2</w:t>
      </w:r>
      <w:r w:rsidR="00904546">
        <w:rPr>
          <w:rFonts w:eastAsia="맑은 고딕"/>
          <w:lang w:eastAsia="ko-KR"/>
        </w:rPr>
        <w:t xml:space="preserve">: </w:t>
      </w:r>
      <w:r w:rsidRPr="009B7113">
        <w:rPr>
          <w:rFonts w:eastAsia="맑은 고딕"/>
          <w:lang w:eastAsia="ko-KR"/>
        </w:rPr>
        <w:t>Study on Mobile Relay for Evolved Universal Terrestrial Radio Access (E-UTRA)</w:t>
      </w:r>
    </w:p>
    <w:sectPr w:rsidR="009045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3C3" w:rsidRDefault="00FF63C3">
      <w:r>
        <w:separator/>
      </w:r>
    </w:p>
  </w:endnote>
  <w:endnote w:type="continuationSeparator" w:id="0">
    <w:p w:rsidR="00FF63C3" w:rsidRDefault="00FF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ºÚÌå"/>
    <w:panose1 w:val="02010609060101010101"/>
    <w:charset w:val="86"/>
    <w:family w:val="modern"/>
    <w:pitch w:val="fixed"/>
    <w:sig w:usb0="800002BF" w:usb1="38CF7CFA" w:usb2="00000016" w:usb3="00000000" w:csb0="00040001" w:csb1="00000000"/>
  </w:font>
  <w:font w:name="바탕">
    <w:altName w:val="¹ÙÅÁ"/>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3C3" w:rsidRDefault="00FF63C3">
      <w:r>
        <w:separator/>
      </w:r>
    </w:p>
  </w:footnote>
  <w:footnote w:type="continuationSeparator" w:id="0">
    <w:p w:rsidR="00FF63C3" w:rsidRDefault="00FF6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1D4818B5"/>
    <w:multiLevelType w:val="hybridMultilevel"/>
    <w:tmpl w:val="7436D00C"/>
    <w:lvl w:ilvl="0" w:tplc="907C6970">
      <w:start w:val="17"/>
      <w:numFmt w:val="bullet"/>
      <w:lvlText w:val="-"/>
      <w:lvlJc w:val="left"/>
      <w:pPr>
        <w:ind w:left="760" w:hanging="360"/>
      </w:pPr>
      <w:rPr>
        <w:rFonts w:ascii="Times New Roman" w:eastAsia="맑은 고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5"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19"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3"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2"/>
  </w:num>
  <w:num w:numId="4">
    <w:abstractNumId w:val="7"/>
  </w:num>
  <w:num w:numId="5">
    <w:abstractNumId w:val="13"/>
  </w:num>
  <w:num w:numId="6">
    <w:abstractNumId w:val="18"/>
  </w:num>
  <w:num w:numId="7">
    <w:abstractNumId w:val="23"/>
  </w:num>
  <w:num w:numId="8">
    <w:abstractNumId w:val="6"/>
  </w:num>
  <w:num w:numId="9">
    <w:abstractNumId w:val="19"/>
  </w:num>
  <w:num w:numId="10">
    <w:abstractNumId w:val="15"/>
  </w:num>
  <w:num w:numId="11">
    <w:abstractNumId w:val="1"/>
  </w:num>
  <w:num w:numId="12">
    <w:abstractNumId w:val="12"/>
  </w:num>
  <w:num w:numId="13">
    <w:abstractNumId w:val="16"/>
  </w:num>
  <w:num w:numId="14">
    <w:abstractNumId w:val="17"/>
  </w:num>
  <w:num w:numId="15">
    <w:abstractNumId w:val="11"/>
  </w:num>
  <w:num w:numId="16">
    <w:abstractNumId w:val="5"/>
  </w:num>
  <w:num w:numId="17">
    <w:abstractNumId w:val="0"/>
  </w:num>
  <w:num w:numId="18">
    <w:abstractNumId w:val="20"/>
  </w:num>
  <w:num w:numId="19">
    <w:abstractNumId w:val="8"/>
  </w:num>
  <w:num w:numId="20">
    <w:abstractNumId w:val="21"/>
  </w:num>
  <w:num w:numId="21">
    <w:abstractNumId w:val="14"/>
  </w:num>
  <w:num w:numId="22">
    <w:abstractNumId w:val="4"/>
  </w:num>
  <w:num w:numId="23">
    <w:abstractNumId w:val="10"/>
  </w:num>
  <w:num w:numId="2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1CA"/>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022"/>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7297"/>
    <w:rsid w:val="000C7C2C"/>
    <w:rsid w:val="000C7FEF"/>
    <w:rsid w:val="000D017C"/>
    <w:rsid w:val="000D03AB"/>
    <w:rsid w:val="000D083C"/>
    <w:rsid w:val="000D0DBB"/>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AE"/>
    <w:rsid w:val="000E7F6F"/>
    <w:rsid w:val="000F04F5"/>
    <w:rsid w:val="000F084D"/>
    <w:rsid w:val="000F0CEB"/>
    <w:rsid w:val="000F1678"/>
    <w:rsid w:val="000F2627"/>
    <w:rsid w:val="000F3616"/>
    <w:rsid w:val="000F416D"/>
    <w:rsid w:val="000F4288"/>
    <w:rsid w:val="000F4B61"/>
    <w:rsid w:val="000F598D"/>
    <w:rsid w:val="000F6F44"/>
    <w:rsid w:val="000F7427"/>
    <w:rsid w:val="000F7AAB"/>
    <w:rsid w:val="000F7F15"/>
    <w:rsid w:val="0010016F"/>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4DB"/>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A7EAA"/>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B17"/>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C62"/>
    <w:rsid w:val="00222D5C"/>
    <w:rsid w:val="00223070"/>
    <w:rsid w:val="002232E6"/>
    <w:rsid w:val="00223491"/>
    <w:rsid w:val="00223FC1"/>
    <w:rsid w:val="0022411D"/>
    <w:rsid w:val="00224181"/>
    <w:rsid w:val="00224E27"/>
    <w:rsid w:val="00224E31"/>
    <w:rsid w:val="00226792"/>
    <w:rsid w:val="00226A8F"/>
    <w:rsid w:val="00227311"/>
    <w:rsid w:val="002304AD"/>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4FD1"/>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F17"/>
    <w:rsid w:val="00413E02"/>
    <w:rsid w:val="00413E5D"/>
    <w:rsid w:val="00413F22"/>
    <w:rsid w:val="00414F20"/>
    <w:rsid w:val="00415975"/>
    <w:rsid w:val="00415E8D"/>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61A7"/>
    <w:rsid w:val="0048676B"/>
    <w:rsid w:val="00486ACA"/>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3E9"/>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274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5B4D"/>
    <w:rsid w:val="0060670B"/>
    <w:rsid w:val="00606EF6"/>
    <w:rsid w:val="00607180"/>
    <w:rsid w:val="00607778"/>
    <w:rsid w:val="0061048D"/>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27FC7"/>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1FCC"/>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3C37"/>
    <w:rsid w:val="007041C8"/>
    <w:rsid w:val="00704327"/>
    <w:rsid w:val="0070482E"/>
    <w:rsid w:val="00704A35"/>
    <w:rsid w:val="00704D3F"/>
    <w:rsid w:val="007054FB"/>
    <w:rsid w:val="00705C3B"/>
    <w:rsid w:val="00705DD2"/>
    <w:rsid w:val="00706D82"/>
    <w:rsid w:val="00706FD8"/>
    <w:rsid w:val="007072E2"/>
    <w:rsid w:val="00707469"/>
    <w:rsid w:val="00707C0F"/>
    <w:rsid w:val="007102CD"/>
    <w:rsid w:val="00710BC0"/>
    <w:rsid w:val="0071161A"/>
    <w:rsid w:val="00711E13"/>
    <w:rsid w:val="00712065"/>
    <w:rsid w:val="007121DF"/>
    <w:rsid w:val="00712C22"/>
    <w:rsid w:val="00712C85"/>
    <w:rsid w:val="007132EA"/>
    <w:rsid w:val="007134FD"/>
    <w:rsid w:val="00713966"/>
    <w:rsid w:val="007139B3"/>
    <w:rsid w:val="007152B4"/>
    <w:rsid w:val="00715908"/>
    <w:rsid w:val="0071693D"/>
    <w:rsid w:val="00716A5C"/>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243B"/>
    <w:rsid w:val="00742489"/>
    <w:rsid w:val="007426EC"/>
    <w:rsid w:val="0074323C"/>
    <w:rsid w:val="0074397A"/>
    <w:rsid w:val="007439E0"/>
    <w:rsid w:val="00743CDC"/>
    <w:rsid w:val="00743E9A"/>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409"/>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118"/>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1E9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910"/>
    <w:rsid w:val="00851E6E"/>
    <w:rsid w:val="00852287"/>
    <w:rsid w:val="00853E45"/>
    <w:rsid w:val="008542D0"/>
    <w:rsid w:val="00854A25"/>
    <w:rsid w:val="00854A4B"/>
    <w:rsid w:val="00854E06"/>
    <w:rsid w:val="0085516F"/>
    <w:rsid w:val="008558BF"/>
    <w:rsid w:val="00855F89"/>
    <w:rsid w:val="00855F98"/>
    <w:rsid w:val="0085616A"/>
    <w:rsid w:val="00856257"/>
    <w:rsid w:val="00856799"/>
    <w:rsid w:val="00856840"/>
    <w:rsid w:val="00856DA6"/>
    <w:rsid w:val="00856E8A"/>
    <w:rsid w:val="00856F46"/>
    <w:rsid w:val="0085744F"/>
    <w:rsid w:val="00857843"/>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573"/>
    <w:rsid w:val="008B3896"/>
    <w:rsid w:val="008B3C5A"/>
    <w:rsid w:val="008B3EC2"/>
    <w:rsid w:val="008B455A"/>
    <w:rsid w:val="008B4AE0"/>
    <w:rsid w:val="008B4B7D"/>
    <w:rsid w:val="008B4BE6"/>
    <w:rsid w:val="008B4C3C"/>
    <w:rsid w:val="008B4E96"/>
    <w:rsid w:val="008B5029"/>
    <w:rsid w:val="008B5256"/>
    <w:rsid w:val="008B53C6"/>
    <w:rsid w:val="008B569D"/>
    <w:rsid w:val="008B57C4"/>
    <w:rsid w:val="008B7075"/>
    <w:rsid w:val="008B769D"/>
    <w:rsid w:val="008C02CE"/>
    <w:rsid w:val="008C0575"/>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0DF"/>
    <w:rsid w:val="00AC1404"/>
    <w:rsid w:val="00AC14CC"/>
    <w:rsid w:val="00AC15C7"/>
    <w:rsid w:val="00AC185C"/>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3717"/>
    <w:rsid w:val="00B03736"/>
    <w:rsid w:val="00B040FF"/>
    <w:rsid w:val="00B04255"/>
    <w:rsid w:val="00B04E81"/>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A3B"/>
    <w:rsid w:val="00B70DC0"/>
    <w:rsid w:val="00B710AF"/>
    <w:rsid w:val="00B71A5D"/>
    <w:rsid w:val="00B71C43"/>
    <w:rsid w:val="00B725F0"/>
    <w:rsid w:val="00B72BA4"/>
    <w:rsid w:val="00B72CC1"/>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4A2"/>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2FD3"/>
    <w:rsid w:val="00BC3259"/>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C8F"/>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2F2"/>
    <w:rsid w:val="00C61C9A"/>
    <w:rsid w:val="00C61ECA"/>
    <w:rsid w:val="00C61F22"/>
    <w:rsid w:val="00C61FBF"/>
    <w:rsid w:val="00C626BB"/>
    <w:rsid w:val="00C63108"/>
    <w:rsid w:val="00C631D5"/>
    <w:rsid w:val="00C63629"/>
    <w:rsid w:val="00C6374E"/>
    <w:rsid w:val="00C63840"/>
    <w:rsid w:val="00C63CEF"/>
    <w:rsid w:val="00C6449F"/>
    <w:rsid w:val="00C648B6"/>
    <w:rsid w:val="00C64B0F"/>
    <w:rsid w:val="00C64E15"/>
    <w:rsid w:val="00C65CA3"/>
    <w:rsid w:val="00C65CDC"/>
    <w:rsid w:val="00C65E50"/>
    <w:rsid w:val="00C65F38"/>
    <w:rsid w:val="00C67236"/>
    <w:rsid w:val="00C673FC"/>
    <w:rsid w:val="00C67A4D"/>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0EC"/>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6E3"/>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893"/>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1D"/>
    <w:rsid w:val="00DE5053"/>
    <w:rsid w:val="00DE5BBA"/>
    <w:rsid w:val="00DE64E1"/>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030"/>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69"/>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1D07"/>
    <w:rsid w:val="00F2224C"/>
    <w:rsid w:val="00F222F7"/>
    <w:rsid w:val="00F2234C"/>
    <w:rsid w:val="00F232A8"/>
    <w:rsid w:val="00F23330"/>
    <w:rsid w:val="00F235F5"/>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CA7"/>
    <w:rsid w:val="00F35ECE"/>
    <w:rsid w:val="00F36234"/>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1CF9"/>
    <w:rsid w:val="00F52D38"/>
    <w:rsid w:val="00F53006"/>
    <w:rsid w:val="00F531DA"/>
    <w:rsid w:val="00F532E8"/>
    <w:rsid w:val="00F537E0"/>
    <w:rsid w:val="00F53879"/>
    <w:rsid w:val="00F53D34"/>
    <w:rsid w:val="00F53D63"/>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917"/>
    <w:rsid w:val="00F75EEF"/>
    <w:rsid w:val="00F7621E"/>
    <w:rsid w:val="00F764CE"/>
    <w:rsid w:val="00F76804"/>
    <w:rsid w:val="00F76A6F"/>
    <w:rsid w:val="00F76DA7"/>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E37"/>
    <w:rsid w:val="00FF46A3"/>
    <w:rsid w:val="00FF48D2"/>
    <w:rsid w:val="00FF4D80"/>
    <w:rsid w:val="00FF4EF1"/>
    <w:rsid w:val="00FF5407"/>
    <w:rsid w:val="00FF597B"/>
    <w:rsid w:val="00FF5DFD"/>
    <w:rsid w:val="00FF63C3"/>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7A926-0503-480A-A3E3-3116EBB5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1329</TotalTime>
  <Pages>2</Pages>
  <Words>562</Words>
  <Characters>3210</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93</cp:revision>
  <cp:lastPrinted>2017-05-04T01:29:00Z</cp:lastPrinted>
  <dcterms:created xsi:type="dcterms:W3CDTF">2020-05-20T08:02:00Z</dcterms:created>
  <dcterms:modified xsi:type="dcterms:W3CDTF">2020-08-06T11:22:00Z</dcterms:modified>
</cp:coreProperties>
</file>